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4B4" w:rsidRPr="008644B4" w:rsidRDefault="008644B4" w:rsidP="008644B4">
      <w:pPr>
        <w:jc w:val="center"/>
        <w:rPr>
          <w:b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ZAKON</w:t>
      </w:r>
    </w:p>
    <w:p w:rsidR="008644B4" w:rsidRPr="008644B4" w:rsidRDefault="008644B4" w:rsidP="008644B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8644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8644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8644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Pr="008644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8644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8644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UREĐENJU</w:t>
      </w:r>
    </w:p>
    <w:p w:rsidR="008644B4" w:rsidRPr="008644B4" w:rsidRDefault="008644B4" w:rsidP="008644B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PROSTORA</w:t>
      </w:r>
      <w:r w:rsidRPr="008644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8644B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GRAĐENJU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građenju</w:t>
      </w:r>
      <w:r w:rsidRPr="008644B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644B4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8644B4">
        <w:rPr>
          <w:noProof/>
          <w:lang w:val="sr-Latn-CS"/>
        </w:rPr>
        <w:t xml:space="preserve">. 40/13, 106/15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3/16), </w:t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5. </w:t>
      </w:r>
      <w:r>
        <w:rPr>
          <w:noProof/>
          <w:lang w:val="sr-Latn-CS"/>
        </w:rPr>
        <w:t>dodaju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8644B4">
        <w:rPr>
          <w:noProof/>
          <w:lang w:val="sr-Latn-CS"/>
        </w:rPr>
        <w:t>. 5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>, 5</w:t>
      </w: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5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5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(1) </w:t>
      </w:r>
      <w:r>
        <w:rPr>
          <w:noProof/>
          <w:lang w:val="sr-Latn-CS"/>
        </w:rPr>
        <w:t>Organizaciju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dokaze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primjeraka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8644B4">
        <w:rPr>
          <w:noProof/>
          <w:lang w:val="sr-Latn-CS"/>
        </w:rPr>
        <w:t>,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jednošalterskom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Pr="008644B4">
        <w:rPr>
          <w:noProof/>
          <w:lang w:val="sr-Latn-CS"/>
        </w:rPr>
        <w:t xml:space="preserve">,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tok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(2) </w:t>
      </w:r>
      <w:r>
        <w:rPr>
          <w:noProof/>
          <w:lang w:val="sr-Latn-CS"/>
        </w:rPr>
        <w:t>Jednošalterski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kompletna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Pr="008644B4">
        <w:rPr>
          <w:noProof/>
          <w:lang w:val="sr-Latn-CS"/>
        </w:rPr>
        <w:t xml:space="preserve"> –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sprovodi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posredstvom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šaltera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(3) </w:t>
      </w:r>
      <w:r>
        <w:rPr>
          <w:noProof/>
          <w:lang w:val="sr-Latn-CS"/>
        </w:rPr>
        <w:t>Elektronski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kompletna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Pr="008644B4">
        <w:rPr>
          <w:noProof/>
          <w:lang w:val="sr-Latn-CS"/>
        </w:rPr>
        <w:t xml:space="preserve"> –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redovnim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sprovodi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putem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8644B4">
        <w:rPr>
          <w:noProof/>
          <w:lang w:val="sr-Latn-CS"/>
        </w:rPr>
        <w:t xml:space="preserve">: </w:t>
      </w:r>
      <w:r>
        <w:rPr>
          <w:noProof/>
          <w:lang w:val="sr-Latn-CS"/>
        </w:rPr>
        <w:t>softver</w:t>
      </w:r>
      <w:r w:rsidRPr="008644B4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(4) </w:t>
      </w:r>
      <w:r>
        <w:rPr>
          <w:noProof/>
          <w:lang w:val="sr-Latn-CS"/>
        </w:rPr>
        <w:t>Izuzetno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dokaze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stranka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dužna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ovjerene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kopije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(5) </w:t>
      </w:r>
      <w:r>
        <w:rPr>
          <w:noProof/>
          <w:lang w:val="sr-Latn-CS"/>
        </w:rPr>
        <w:t>Zahtjev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stranke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both"/>
        <w:rPr>
          <w:b/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5</w:t>
      </w: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(1)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kada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postupak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lokacijskih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8644B4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građevinske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upotrebne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organizovan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članom</w:t>
      </w:r>
      <w:r w:rsidRPr="008644B4">
        <w:rPr>
          <w:rFonts w:eastAsia="Calibri"/>
          <w:noProof/>
          <w:lang w:val="sr-Latn-CS"/>
        </w:rPr>
        <w:t xml:space="preserve"> 5</w:t>
      </w:r>
      <w:r>
        <w:rPr>
          <w:rFonts w:eastAsia="Calibri"/>
          <w:noProof/>
          <w:lang w:val="sr-Latn-CS"/>
        </w:rPr>
        <w:t>a</w:t>
      </w:r>
      <w:r w:rsidRPr="008644B4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stav</w:t>
      </w:r>
      <w:r w:rsidRPr="008644B4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t</w:t>
      </w:r>
      <w:r w:rsidRPr="008644B4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b</w:t>
      </w:r>
      <w:r w:rsidRPr="008644B4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ili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</w:t>
      </w:r>
      <w:r w:rsidRPr="008644B4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ovog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dokaze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javna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komunalna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pribavlja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stranka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priložila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(2)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javno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komunalno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dužni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instrukcija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stranku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Pr="008644B4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nemogućnosti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Stranka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odgađanja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instrukcijama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putem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uplati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(4) </w:t>
      </w:r>
      <w:r>
        <w:rPr>
          <w:noProof/>
          <w:lang w:val="sr-Latn-CS"/>
        </w:rPr>
        <w:t>Ako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javno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komunalno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</w:t>
      </w:r>
      <w:r w:rsidRPr="008644B4">
        <w:rPr>
          <w:noProof/>
          <w:lang w:val="sr-Latn-CS"/>
        </w:rPr>
        <w:t>o</w:t>
      </w:r>
      <w:r>
        <w:rPr>
          <w:noProof/>
          <w:lang w:val="sr-Latn-CS"/>
        </w:rPr>
        <w:t>ci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odgađanja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ponovnog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traženja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(5) </w:t>
      </w:r>
      <w:r>
        <w:rPr>
          <w:noProof/>
          <w:lang w:val="sr-Latn-CS"/>
        </w:rPr>
        <w:t>Ukoliko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javna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komunalna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dostavljen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odlučeno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javnom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komunalnom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 w:eastAsia="x-none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5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(1) </w:t>
      </w:r>
      <w:r>
        <w:rPr>
          <w:noProof/>
          <w:lang w:val="sr-Latn-CS"/>
        </w:rPr>
        <w:t>Vlada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(2) </w:t>
      </w:r>
      <w:r>
        <w:rPr>
          <w:noProof/>
          <w:lang w:val="sr-Latn-CS"/>
        </w:rPr>
        <w:t>Uredbom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obračuna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gradskog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rente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pribavljanje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forma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razmjenjuju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taksa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pStyle w:val="CommentText"/>
        <w:ind w:firstLine="720"/>
        <w:jc w:val="both"/>
        <w:rPr>
          <w:noProof/>
          <w:sz w:val="24"/>
          <w:szCs w:val="24"/>
          <w:lang w:val="sr-Latn-CS"/>
        </w:rPr>
      </w:pPr>
      <w:r w:rsidRPr="008644B4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U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cilju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sprovođenja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elektronskog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postupka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razmjene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obrade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dokumenata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podataka</w:t>
      </w:r>
      <w:r w:rsidRPr="008644B4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detaljnije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definisati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uredbom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8644B4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8644B4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nadležni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prikupljaju</w:t>
      </w:r>
      <w:r w:rsidRPr="008644B4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obrađuju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podatke</w:t>
      </w:r>
      <w:r w:rsidRPr="008644B4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uključujući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podatke</w:t>
      </w:r>
      <w:r w:rsidRPr="008644B4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vode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evidencije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obezbjeđuju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zaštitu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podataka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evidencija</w:t>
      </w:r>
      <w:r w:rsidRPr="008644B4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propisima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ličnih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tajnih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podataka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propisima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informacionoj</w:t>
      </w:r>
      <w:r w:rsidRPr="008644B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bezbjednosti</w:t>
      </w:r>
      <w:r w:rsidRPr="008644B4">
        <w:rPr>
          <w:noProof/>
          <w:sz w:val="24"/>
          <w:szCs w:val="24"/>
          <w:lang w:val="sr-Latn-CS"/>
        </w:rPr>
        <w:t>.“</w:t>
      </w:r>
    </w:p>
    <w:p w:rsidR="008644B4" w:rsidRPr="008644B4" w:rsidRDefault="008644B4" w:rsidP="008644B4">
      <w:pPr>
        <w:rPr>
          <w:rFonts w:eastAsia="Calibri"/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2.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9.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5.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riječ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rješenja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zamjenjuje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riječju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uvjerenja“.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3.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27.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đ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 xml:space="preserve">: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đ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uključuju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nepogoda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vodeći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seizmičkih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parametara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karata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mapa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mapa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poplava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parametara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klimatskih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644B4">
        <w:rPr>
          <w:noProof/>
          <w:lang w:val="sr-Latn-CS"/>
        </w:rPr>
        <w:t>,“.</w:t>
      </w:r>
    </w:p>
    <w:p w:rsidR="008644B4" w:rsidRPr="008644B4" w:rsidRDefault="008644B4" w:rsidP="008644B4">
      <w:pPr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4.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35.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mijenja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„(1) </w:t>
      </w:r>
      <w:r>
        <w:rPr>
          <w:noProof/>
          <w:lang w:val="sr-Latn-CS"/>
        </w:rPr>
        <w:t>Regulacioni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urbana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objekata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višeg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8644B4">
        <w:rPr>
          <w:noProof/>
          <w:lang w:val="sr-Latn-CS"/>
        </w:rPr>
        <w:t xml:space="preserve"> 33.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nužno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5.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46.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4.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s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6.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47. </w:t>
      </w:r>
      <w:r>
        <w:rPr>
          <w:noProof/>
          <w:lang w:val="sr-Latn-CS"/>
        </w:rPr>
        <w:t>mijenja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„(1) </w:t>
      </w:r>
      <w:r>
        <w:rPr>
          <w:noProof/>
          <w:lang w:val="sr-Latn-CS"/>
        </w:rPr>
        <w:t>Nosilac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46.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mjesto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vrijeme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pStyle w:val="BodyTextIndent"/>
        <w:spacing w:after="0"/>
        <w:ind w:left="0"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(2) </w:t>
      </w:r>
      <w:r>
        <w:rPr>
          <w:noProof/>
          <w:lang w:val="sr-Latn-CS"/>
        </w:rPr>
        <w:t>Trajanje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40.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8644B4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(3)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vremenu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vlasnici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oglasom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8644B4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(4) </w:t>
      </w:r>
      <w:r>
        <w:rPr>
          <w:noProof/>
          <w:lang w:val="sr-Latn-CS"/>
        </w:rPr>
        <w:t>Oglas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mjesto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datum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početak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,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mjesto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izlaganja</w:t>
      </w:r>
      <w:r w:rsidRPr="008644B4">
        <w:rPr>
          <w:noProof/>
          <w:lang w:val="sr-Latn-CS"/>
        </w:rPr>
        <w:t xml:space="preserve">,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mjesto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pojašnjenja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,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poslati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prijedlozi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primjedbe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(5) </w:t>
      </w:r>
      <w:r>
        <w:rPr>
          <w:noProof/>
          <w:lang w:val="sr-Latn-CS"/>
        </w:rPr>
        <w:t>Nacrt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izlaže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8644B4">
        <w:rPr>
          <w:noProof/>
          <w:lang w:val="sr-Latn-CS"/>
        </w:rPr>
        <w:t>,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>,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prostorima</w:t>
      </w:r>
      <w:r w:rsidRPr="008644B4">
        <w:rPr>
          <w:noProof/>
          <w:lang w:val="sr-Latn-CS"/>
        </w:rPr>
        <w:t xml:space="preserve"> (</w:t>
      </w:r>
      <w:r>
        <w:rPr>
          <w:noProof/>
          <w:lang w:val="sr-Latn-CS"/>
        </w:rPr>
        <w:t>domovi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predvorja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slično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mjesnih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izlažu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(6) </w:t>
      </w:r>
      <w:r>
        <w:rPr>
          <w:noProof/>
          <w:lang w:val="sr-Latn-CS"/>
        </w:rPr>
        <w:t>Nosilac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izložen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obavijesti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objašnjenja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formulisanju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primjedaba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(7) </w:t>
      </w:r>
      <w:r>
        <w:rPr>
          <w:noProof/>
          <w:lang w:val="sr-Latn-CS"/>
        </w:rPr>
        <w:t>Primjedbe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prijedlozi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upisuju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svesku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numerisanim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stranicama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izlaže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proslijedi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(8) </w:t>
      </w:r>
      <w:r>
        <w:rPr>
          <w:noProof/>
          <w:lang w:val="sr-Latn-CS"/>
        </w:rPr>
        <w:t>Nosilac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26.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prezentacije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područjima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lastRenderedPageBreak/>
        <w:t xml:space="preserve">(9) </w:t>
      </w:r>
      <w:r>
        <w:rPr>
          <w:noProof/>
          <w:lang w:val="sr-Latn-CS"/>
        </w:rPr>
        <w:t>Nacrt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primjedbe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prijedlozi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sugestije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šalje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(10) </w:t>
      </w:r>
      <w:r>
        <w:rPr>
          <w:noProof/>
          <w:lang w:val="sr-Latn-CS"/>
        </w:rPr>
        <w:t>Ako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zatvaranja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primjedaba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ponuđena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planska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7.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49.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7. </w:t>
      </w:r>
      <w:r>
        <w:rPr>
          <w:noProof/>
          <w:lang w:val="sr-Latn-CS"/>
        </w:rPr>
        <w:t>briše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8. 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50.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najduže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zamjenjuju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najduže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Pr="008644B4">
        <w:rPr>
          <w:noProof/>
          <w:lang w:val="sr-Latn-CS"/>
        </w:rPr>
        <w:t>“.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5. </w:t>
      </w:r>
      <w:r>
        <w:rPr>
          <w:noProof/>
          <w:lang w:val="sr-Latn-CS"/>
        </w:rPr>
        <w:t>riječ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utvrđivanja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zamjenjuje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riječju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dostavljanja</w:t>
      </w:r>
      <w:r w:rsidRPr="008644B4">
        <w:rPr>
          <w:noProof/>
          <w:lang w:val="sr-Latn-CS"/>
        </w:rPr>
        <w:t>“.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9.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62.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izjave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susjednih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</w:t>
      </w:r>
      <w:r w:rsidRPr="008644B4">
        <w:rPr>
          <w:noProof/>
          <w:lang w:val="sr-Latn-CS"/>
        </w:rPr>
        <w:t>-</w:t>
      </w:r>
      <w:r>
        <w:rPr>
          <w:noProof/>
          <w:lang w:val="sr-Latn-CS"/>
        </w:rPr>
        <w:t>tehničkim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date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ovjerenim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potpisima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10.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78. </w:t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7. </w:t>
      </w:r>
      <w:r>
        <w:rPr>
          <w:noProof/>
          <w:lang w:val="sr-Latn-CS"/>
        </w:rPr>
        <w:t>dodaju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644B4">
        <w:rPr>
          <w:noProof/>
          <w:lang w:val="sr-Latn-CS"/>
        </w:rPr>
        <w:t xml:space="preserve">. 8.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9.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„(8)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postoje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rušenje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pripremanjem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gradskog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Pr="008644B4">
        <w:rPr>
          <w:noProof/>
          <w:lang w:val="sr-Latn-CS"/>
        </w:rPr>
        <w:t xml:space="preserve">, a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izvesti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sprovedbenim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investitoru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priznaju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priznaju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imala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gradskog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prosječnim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cijenama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73.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(9) </w:t>
      </w:r>
      <w:r>
        <w:rPr>
          <w:noProof/>
          <w:lang w:val="sr-Latn-CS"/>
        </w:rPr>
        <w:t>Ukoliko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istoj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parceli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investitoru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priznaju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kroz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umanjenje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obračunatih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11.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90.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90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 xml:space="preserve">: </w:t>
      </w: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90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strike/>
          <w:noProof/>
          <w:lang w:val="sr-Latn-CS"/>
        </w:rPr>
      </w:pPr>
      <w:r w:rsidRPr="008644B4">
        <w:rPr>
          <w:noProof/>
          <w:lang w:val="sr-Latn-CS"/>
        </w:rPr>
        <w:t xml:space="preserve">(1) </w:t>
      </w:r>
      <w:r>
        <w:rPr>
          <w:noProof/>
          <w:lang w:val="sr-Latn-CS"/>
        </w:rPr>
        <w:t>Radi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dugoročnog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sveobuhvatnog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usmjerenog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nestambenih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vlasništvu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(2) </w:t>
      </w:r>
      <w:r>
        <w:rPr>
          <w:noProof/>
          <w:lang w:val="sr-Latn-CS"/>
        </w:rPr>
        <w:t>Strategija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2050. </w:t>
      </w:r>
      <w:r>
        <w:rPr>
          <w:noProof/>
          <w:lang w:val="sr-Latn-CS"/>
        </w:rPr>
        <w:t>godine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pregled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nestambenih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statističkog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uzorkovanja</w:t>
      </w:r>
      <w:r w:rsidRPr="008644B4">
        <w:rPr>
          <w:noProof/>
          <w:lang w:val="sr-Latn-CS"/>
        </w:rPr>
        <w:t>,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utvrđivanje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klimatske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Pr="008644B4">
        <w:rPr>
          <w:noProof/>
          <w:lang w:val="sr-Latn-CS"/>
        </w:rPr>
        <w:t>,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politike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velikih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postepene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Pr="008644B4">
        <w:rPr>
          <w:noProof/>
          <w:lang w:val="sr-Latn-CS"/>
        </w:rPr>
        <w:t>,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pregled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usmjerene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najlošijim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Pr="008644B4">
        <w:rPr>
          <w:noProof/>
          <w:lang w:val="sr-Latn-CS"/>
        </w:rPr>
        <w:t xml:space="preserve">,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pregled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promovisanje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pametnih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vještina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8644B4">
        <w:rPr>
          <w:noProof/>
          <w:lang w:val="sr-Latn-CS"/>
        </w:rPr>
        <w:t>,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đ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dugoročnu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perspektiva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usmjeravanja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pojedinaca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ulaganjima</w:t>
      </w:r>
      <w:r w:rsidRPr="008644B4">
        <w:rPr>
          <w:noProof/>
          <w:lang w:val="sr-Latn-CS"/>
        </w:rPr>
        <w:t>,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procjenu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ušteda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širu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korist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dokazima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(3)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nestambenih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mjerama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uštedama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formira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8644B4">
        <w:rPr>
          <w:noProof/>
          <w:lang w:val="sr-Latn-CS"/>
        </w:rPr>
        <w:t xml:space="preserve">: </w:t>
      </w:r>
      <w:r>
        <w:rPr>
          <w:noProof/>
          <w:lang w:val="sr-Latn-CS"/>
        </w:rPr>
        <w:t>Registar</w:t>
      </w:r>
      <w:r w:rsidRPr="008644B4">
        <w:rPr>
          <w:noProof/>
          <w:lang w:val="sr-Latn-CS"/>
        </w:rPr>
        <w:t>).</w:t>
      </w:r>
    </w:p>
    <w:p w:rsidR="008644B4" w:rsidRPr="008644B4" w:rsidRDefault="008644B4" w:rsidP="008644B4">
      <w:pPr>
        <w:ind w:firstLine="720"/>
        <w:jc w:val="both"/>
        <w:rPr>
          <w:rFonts w:eastAsia="Calibri"/>
          <w:noProof/>
          <w:lang w:val="sr-Latn-CS"/>
        </w:rPr>
      </w:pPr>
      <w:r w:rsidRPr="008644B4">
        <w:rPr>
          <w:rFonts w:eastAsia="Calibri"/>
          <w:noProof/>
          <w:lang w:val="sr-Latn-CS"/>
        </w:rPr>
        <w:t xml:space="preserve">(4) </w:t>
      </w:r>
      <w:r>
        <w:rPr>
          <w:rFonts w:eastAsia="Calibri"/>
          <w:noProof/>
          <w:lang w:val="sr-Latn-CS"/>
        </w:rPr>
        <w:t>Registar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8644B4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ovog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životne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sredine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energetsku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efikasnost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8644B4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Pr="008644B4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Fond</w:t>
      </w:r>
      <w:r w:rsidRPr="008644B4">
        <w:rPr>
          <w:rFonts w:eastAsia="Calibri"/>
          <w:noProof/>
          <w:lang w:val="sr-Latn-CS"/>
        </w:rPr>
        <w:t xml:space="preserve">), </w:t>
      </w:r>
      <w:r>
        <w:rPr>
          <w:rFonts w:eastAsia="Calibri"/>
          <w:noProof/>
          <w:lang w:val="sr-Latn-CS"/>
        </w:rPr>
        <w:t>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podataka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dostavljaju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energetskih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certifikata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podaci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zgradama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dostavljaju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putem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jedinica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republičkih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uprave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zavisnosti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vrste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zgrade</w:t>
      </w:r>
      <w:r w:rsidRPr="008644B4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detaljnije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uređuju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Pravilnikom</w:t>
      </w:r>
      <w:r w:rsidRPr="008644B4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(5) </w:t>
      </w:r>
      <w:r>
        <w:rPr>
          <w:noProof/>
          <w:lang w:val="sr-Latn-CS"/>
        </w:rPr>
        <w:t>Način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vrste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vrste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unošenja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izgled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obrasca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podatka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učesnici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.“ 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12.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91.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4. </w:t>
      </w:r>
      <w:r>
        <w:rPr>
          <w:noProof/>
          <w:lang w:val="sr-Latn-CS"/>
        </w:rPr>
        <w:t>mijenja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„(4) </w:t>
      </w:r>
      <w:r>
        <w:rPr>
          <w:noProof/>
          <w:lang w:val="sr-Latn-CS"/>
        </w:rPr>
        <w:t>Pravno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redovni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grijanje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hlađenje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klimatizaciju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vlasniku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preporuke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grijanja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grijanja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ventilacije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nominalne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70 kW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klimatizacije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klimatizacije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ventilacije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nominalne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70 kW.“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5.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8644B4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8644B4">
        <w:rPr>
          <w:noProof/>
          <w:lang w:val="sr-Latn-CS"/>
        </w:rPr>
        <w:t xml:space="preserve">: </w:t>
      </w:r>
      <w:r>
        <w:rPr>
          <w:noProof/>
          <w:lang w:val="sr-Latn-CS"/>
        </w:rPr>
        <w:t>Fond</w:t>
      </w:r>
      <w:r w:rsidRPr="008644B4">
        <w:rPr>
          <w:noProof/>
          <w:lang w:val="sr-Latn-CS"/>
        </w:rPr>
        <w:t xml:space="preserve">)“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7. </w:t>
      </w:r>
      <w:r>
        <w:rPr>
          <w:noProof/>
          <w:lang w:val="sr-Latn-CS"/>
        </w:rPr>
        <w:t>dodaju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644B4">
        <w:rPr>
          <w:noProof/>
          <w:lang w:val="sr-Latn-CS"/>
        </w:rPr>
        <w:t xml:space="preserve">. 8.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9.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„(8)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grijanje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ventilaciju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hlađenje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nivoa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redovnim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grijanje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ventilaciju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hlađenje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(9) </w:t>
      </w:r>
      <w:r>
        <w:rPr>
          <w:noProof/>
          <w:lang w:val="sr-Latn-CS"/>
        </w:rPr>
        <w:t>Pravilnikom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redovnih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lica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nezavisan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formiranje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 w:eastAsia="bs-Cyrl-BA" w:bidi="bs-Cyrl-BA"/>
        </w:rPr>
        <w:t xml:space="preserve"> </w:t>
      </w:r>
      <w:r>
        <w:rPr>
          <w:noProof/>
          <w:lang w:val="sr-Latn-CS"/>
        </w:rPr>
        <w:t>energetsk</w:t>
      </w:r>
      <w:r w:rsidRPr="008644B4">
        <w:rPr>
          <w:noProof/>
          <w:lang w:val="sr-Latn-CS"/>
        </w:rPr>
        <w:t xml:space="preserve">e </w:t>
      </w:r>
      <w:r>
        <w:rPr>
          <w:noProof/>
          <w:lang w:val="sr-Latn-CS"/>
        </w:rPr>
        <w:t>pregled</w:t>
      </w:r>
      <w:r w:rsidRPr="008644B4">
        <w:rPr>
          <w:noProof/>
          <w:lang w:val="sr-Latn-CS"/>
        </w:rPr>
        <w:t xml:space="preserve">e </w:t>
      </w:r>
      <w:r>
        <w:rPr>
          <w:noProof/>
          <w:lang w:val="sr-Latn-CS"/>
        </w:rPr>
        <w:t>tehničkih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8. </w:t>
      </w:r>
      <w:r>
        <w:rPr>
          <w:noProof/>
          <w:lang w:val="sr-Latn-CS"/>
        </w:rPr>
        <w:t>postaje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10.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13.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94.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energetski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zapeta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Ministarstvu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14.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96.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broj</w:t>
      </w:r>
      <w:r w:rsidRPr="008644B4">
        <w:rPr>
          <w:noProof/>
          <w:lang w:val="sr-Latn-CS"/>
        </w:rPr>
        <w:t xml:space="preserve">: „200“ </w:t>
      </w:r>
      <w:r>
        <w:rPr>
          <w:noProof/>
          <w:lang w:val="sr-Latn-CS"/>
        </w:rPr>
        <w:t>zamjenjuje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Pr="008644B4">
        <w:rPr>
          <w:noProof/>
          <w:lang w:val="sr-Latn-CS"/>
        </w:rPr>
        <w:t>: „50“.</w:t>
      </w:r>
    </w:p>
    <w:p w:rsidR="008644B4" w:rsidRPr="008644B4" w:rsidRDefault="008644B4" w:rsidP="008644B4">
      <w:pPr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15.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110. </w:t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5.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„(5) </w:t>
      </w:r>
      <w:r>
        <w:rPr>
          <w:noProof/>
          <w:lang w:val="sr-Latn-CS"/>
        </w:rPr>
        <w:t>Izuzetno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izradu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644B4">
        <w:rPr>
          <w:noProof/>
          <w:lang w:val="sr-Latn-CS"/>
        </w:rPr>
        <w:t xml:space="preserve">. 5, 6.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7. </w:t>
      </w:r>
      <w:r>
        <w:rPr>
          <w:noProof/>
          <w:lang w:val="sr-Latn-CS"/>
        </w:rPr>
        <w:t>postaju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644B4">
        <w:rPr>
          <w:noProof/>
          <w:lang w:val="sr-Latn-CS"/>
        </w:rPr>
        <w:t xml:space="preserve">. 6, 7.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8.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7.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8.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9.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 xml:space="preserve">: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„(9) </w:t>
      </w:r>
      <w:r>
        <w:rPr>
          <w:noProof/>
          <w:lang w:val="sr-Latn-CS"/>
        </w:rPr>
        <w:t>Izuzetno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izradu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priloga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101.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faze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stečenu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16.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112.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3.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osnovnim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ciklusa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čijim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8644B4">
        <w:rPr>
          <w:noProof/>
          <w:lang w:val="sr-Latn-CS"/>
        </w:rPr>
        <w:t xml:space="preserve"> 240 ECTS </w:t>
      </w:r>
      <w:r>
        <w:rPr>
          <w:noProof/>
          <w:lang w:val="sr-Latn-CS"/>
        </w:rPr>
        <w:t>bodova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zamjenjuju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drugim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ciklusom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čijim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8644B4">
        <w:rPr>
          <w:noProof/>
          <w:lang w:val="sr-Latn-CS"/>
        </w:rPr>
        <w:t xml:space="preserve"> 300 ECTS </w:t>
      </w:r>
      <w:r>
        <w:rPr>
          <w:noProof/>
          <w:lang w:val="sr-Latn-CS"/>
        </w:rPr>
        <w:t>bodova</w:t>
      </w:r>
      <w:r w:rsidRPr="008644B4">
        <w:rPr>
          <w:noProof/>
          <w:lang w:val="sr-Latn-CS"/>
        </w:rPr>
        <w:t>“.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3. </w:t>
      </w:r>
      <w:r>
        <w:rPr>
          <w:noProof/>
          <w:lang w:val="sr-Latn-CS"/>
        </w:rPr>
        <w:t>dodaju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644B4">
        <w:rPr>
          <w:noProof/>
          <w:lang w:val="sr-Latn-CS"/>
        </w:rPr>
        <w:t xml:space="preserve">. 4.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5.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„(4) </w:t>
      </w:r>
      <w:r>
        <w:rPr>
          <w:noProof/>
          <w:lang w:val="sr-Latn-CS"/>
        </w:rPr>
        <w:t>Izuzetno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revizija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priloga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dijela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101.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vrši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 (5) </w:t>
      </w:r>
      <w:r>
        <w:rPr>
          <w:noProof/>
          <w:lang w:val="sr-Latn-CS"/>
        </w:rPr>
        <w:t>Izuzetno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reviziju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samouprave.</w:t>
      </w: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17.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114.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114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 xml:space="preserve">: </w:t>
      </w: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114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(1) </w:t>
      </w:r>
      <w:r>
        <w:rPr>
          <w:noProof/>
          <w:lang w:val="sr-Latn-CS"/>
        </w:rPr>
        <w:t>Pored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8644B4">
        <w:rPr>
          <w:noProof/>
          <w:lang w:val="sr-Latn-CS"/>
        </w:rPr>
        <w:t xml:space="preserve"> 114.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završni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revidenta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primijenjeni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namjenu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projektant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(3) </w:t>
      </w:r>
      <w:r>
        <w:rPr>
          <w:noProof/>
          <w:lang w:val="sr-Latn-CS"/>
        </w:rPr>
        <w:t>Izvještaj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izjava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sačinjeni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zamjenjuju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infrastrukturom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(4)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revident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snose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solidarno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usljed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nepotpune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nekvalitetne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(5)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projekatant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usljed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nepotpune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nekvalitetne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učestvovao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18.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116.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6. </w:t>
      </w:r>
      <w:r>
        <w:rPr>
          <w:noProof/>
          <w:lang w:val="sr-Latn-CS"/>
        </w:rPr>
        <w:t>mijenja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„(6) </w:t>
      </w:r>
      <w:r>
        <w:rPr>
          <w:noProof/>
          <w:spacing w:val="-6"/>
          <w:lang w:val="sr-Latn-CS"/>
        </w:rPr>
        <w:t>Izuzetno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od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odredaba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ovog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zakona</w:t>
      </w:r>
      <w:r w:rsidRPr="008644B4">
        <w:rPr>
          <w:noProof/>
          <w:spacing w:val="-6"/>
          <w:lang w:val="sr-Latn-CS"/>
        </w:rPr>
        <w:t xml:space="preserve">, </w:t>
      </w:r>
      <w:r>
        <w:rPr>
          <w:noProof/>
          <w:spacing w:val="-6"/>
          <w:lang w:val="sr-Latn-CS"/>
        </w:rPr>
        <w:t>izvođenje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zanatskih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radova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na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svim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objektima</w:t>
      </w:r>
      <w:r w:rsidRPr="008644B4">
        <w:rPr>
          <w:noProof/>
          <w:spacing w:val="-6"/>
          <w:lang w:val="sr-Latn-CS"/>
        </w:rPr>
        <w:t xml:space="preserve">, </w:t>
      </w:r>
      <w:r>
        <w:rPr>
          <w:noProof/>
          <w:spacing w:val="-6"/>
          <w:lang w:val="sr-Latn-CS"/>
        </w:rPr>
        <w:t>te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građenje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individualnih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stambenih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i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individualnih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stambeno</w:t>
      </w:r>
      <w:r w:rsidRPr="008644B4">
        <w:rPr>
          <w:noProof/>
          <w:spacing w:val="-6"/>
          <w:lang w:val="sr-Latn-CS"/>
        </w:rPr>
        <w:t>-</w:t>
      </w:r>
      <w:r>
        <w:rPr>
          <w:noProof/>
          <w:spacing w:val="-6"/>
          <w:lang w:val="sr-Latn-CS"/>
        </w:rPr>
        <w:t>poslovnih</w:t>
      </w:r>
      <w:r w:rsidRPr="008644B4">
        <w:rPr>
          <w:noProof/>
          <w:spacing w:val="-6"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bruto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200 m</w:t>
      </w:r>
      <w:r w:rsidRPr="008644B4">
        <w:rPr>
          <w:noProof/>
          <w:vertAlign w:val="superscript"/>
          <w:lang w:val="sr-Latn-CS"/>
        </w:rPr>
        <w:t>2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19.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121.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riječ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odmah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zamjenjuje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8644B4">
        <w:rPr>
          <w:noProof/>
          <w:lang w:val="sr-Latn-CS"/>
        </w:rPr>
        <w:t>“.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20.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128.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zaštiti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riječ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briše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obaveza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taksi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zakonima</w:t>
      </w:r>
      <w:r w:rsidRPr="008644B4">
        <w:rPr>
          <w:noProof/>
          <w:lang w:val="sr-Latn-CS"/>
        </w:rPr>
        <w:t>,“.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8644B4">
        <w:rPr>
          <w:noProof/>
          <w:lang w:val="sr-Latn-CS"/>
        </w:rPr>
        <w:t xml:space="preserve"> 21.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Glav</w:t>
      </w:r>
      <w:r w:rsidRPr="008644B4">
        <w:rPr>
          <w:noProof/>
          <w:lang w:val="sr-Latn-CS"/>
        </w:rPr>
        <w:t>a V „</w:t>
      </w:r>
      <w:r>
        <w:rPr>
          <w:noProof/>
          <w:lang w:val="sr-Latn-CS"/>
        </w:rPr>
        <w:t>Legalizacija</w:t>
      </w:r>
      <w:r w:rsidRPr="008644B4">
        <w:rPr>
          <w:noProof/>
          <w:lang w:val="sr-Latn-CS"/>
        </w:rPr>
        <w:t xml:space="preserve">“, </w:t>
      </w:r>
      <w:r>
        <w:rPr>
          <w:noProof/>
          <w:lang w:val="sr-Latn-CS"/>
        </w:rPr>
        <w:t>Odjeljak</w:t>
      </w:r>
      <w:r w:rsidRPr="008644B4">
        <w:rPr>
          <w:noProof/>
          <w:lang w:val="sr-Latn-CS"/>
        </w:rPr>
        <w:t xml:space="preserve"> „1. </w:t>
      </w:r>
      <w:r>
        <w:rPr>
          <w:noProof/>
          <w:lang w:val="sr-Latn-CS"/>
        </w:rPr>
        <w:t>Postupak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legalizacije</w:t>
      </w:r>
      <w:r w:rsidRPr="008644B4">
        <w:rPr>
          <w:noProof/>
          <w:lang w:val="sr-Latn-CS"/>
        </w:rPr>
        <w:t xml:space="preserve">“, </w:t>
      </w:r>
      <w:r>
        <w:rPr>
          <w:noProof/>
          <w:lang w:val="sr-Latn-CS"/>
        </w:rPr>
        <w:t>Pododjeljak</w:t>
      </w:r>
      <w:r w:rsidRPr="008644B4">
        <w:rPr>
          <w:noProof/>
          <w:lang w:val="sr-Latn-CS"/>
        </w:rPr>
        <w:t xml:space="preserve"> „1.1. </w:t>
      </w:r>
      <w:r>
        <w:rPr>
          <w:noProof/>
          <w:lang w:val="sr-Latn-CS"/>
        </w:rPr>
        <w:t>Pojam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legalizaciju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8644B4">
        <w:rPr>
          <w:noProof/>
          <w:lang w:val="sr-Latn-CS"/>
        </w:rPr>
        <w:t>. 151, 151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, 152.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153.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Pododjeljak</w:t>
      </w:r>
      <w:r w:rsidRPr="008644B4">
        <w:rPr>
          <w:noProof/>
          <w:lang w:val="sr-Latn-CS"/>
        </w:rPr>
        <w:t xml:space="preserve"> „1.2. </w:t>
      </w:r>
      <w:r>
        <w:rPr>
          <w:noProof/>
          <w:lang w:val="sr-Latn-CS"/>
        </w:rPr>
        <w:t>Objekti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154.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Pododjeljak</w:t>
      </w:r>
      <w:r w:rsidRPr="008644B4">
        <w:rPr>
          <w:noProof/>
          <w:lang w:val="sr-Latn-CS"/>
        </w:rPr>
        <w:t xml:space="preserve"> „1.3. </w:t>
      </w:r>
      <w:r>
        <w:rPr>
          <w:noProof/>
          <w:lang w:val="sr-Latn-CS"/>
        </w:rPr>
        <w:t>Dokumentacija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8644B4">
        <w:rPr>
          <w:noProof/>
          <w:lang w:val="sr-Latn-CS"/>
        </w:rPr>
        <w:t xml:space="preserve">. 155.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156.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Pododjeljak</w:t>
      </w:r>
      <w:r w:rsidRPr="008644B4">
        <w:rPr>
          <w:noProof/>
          <w:lang w:val="sr-Latn-CS"/>
        </w:rPr>
        <w:t xml:space="preserve"> „1.4. </w:t>
      </w:r>
      <w:r>
        <w:rPr>
          <w:noProof/>
          <w:lang w:val="sr-Latn-CS"/>
        </w:rPr>
        <w:t>Rješenje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nezavršenih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8644B4">
        <w:rPr>
          <w:noProof/>
          <w:lang w:val="sr-Latn-CS"/>
        </w:rPr>
        <w:t xml:space="preserve">. 157.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158.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.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Pododjeljak</w:t>
      </w:r>
      <w:r w:rsidRPr="008644B4">
        <w:rPr>
          <w:noProof/>
          <w:lang w:val="sr-Latn-CS"/>
        </w:rPr>
        <w:t xml:space="preserve"> „1.5. </w:t>
      </w:r>
      <w:r>
        <w:rPr>
          <w:noProof/>
          <w:lang w:val="sr-Latn-CS"/>
        </w:rPr>
        <w:t>Naknadno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159.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Odjeljak</w:t>
      </w:r>
      <w:r w:rsidRPr="008644B4">
        <w:rPr>
          <w:noProof/>
          <w:lang w:val="sr-Latn-CS"/>
        </w:rPr>
        <w:t xml:space="preserve"> „2. </w:t>
      </w:r>
      <w:r>
        <w:rPr>
          <w:noProof/>
          <w:lang w:val="sr-Latn-CS"/>
        </w:rPr>
        <w:t>Naknade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legalizacije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8644B4">
        <w:rPr>
          <w:noProof/>
          <w:lang w:val="sr-Latn-CS"/>
        </w:rPr>
        <w:t>. 160, 160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>, 160</w:t>
      </w: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160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Pododjeljak</w:t>
      </w:r>
      <w:r w:rsidRPr="008644B4">
        <w:rPr>
          <w:noProof/>
          <w:lang w:val="sr-Latn-CS"/>
        </w:rPr>
        <w:t xml:space="preserve"> „2.1. </w:t>
      </w:r>
      <w:r>
        <w:rPr>
          <w:noProof/>
          <w:lang w:val="sr-Latn-CS"/>
        </w:rPr>
        <w:t>Umanjenje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legalizaciju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</w:t>
      </w:r>
      <w:r w:rsidRPr="008644B4">
        <w:rPr>
          <w:noProof/>
          <w:lang w:val="sr-Latn-CS"/>
        </w:rPr>
        <w:t xml:space="preserve">e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Pododjeljak</w:t>
      </w:r>
      <w:r w:rsidRPr="008644B4">
        <w:rPr>
          <w:noProof/>
          <w:lang w:val="sr-Latn-CS"/>
        </w:rPr>
        <w:t xml:space="preserve"> „2.2. </w:t>
      </w:r>
      <w:r>
        <w:rPr>
          <w:noProof/>
          <w:lang w:val="sr-Latn-CS"/>
        </w:rPr>
        <w:t>Način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legalizaciju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165.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Odjeljak</w:t>
      </w:r>
      <w:r w:rsidRPr="008644B4">
        <w:rPr>
          <w:noProof/>
          <w:lang w:val="sr-Latn-CS"/>
        </w:rPr>
        <w:t xml:space="preserve"> „3. </w:t>
      </w:r>
      <w:r>
        <w:rPr>
          <w:noProof/>
          <w:lang w:val="sr-Latn-CS"/>
        </w:rPr>
        <w:t>Privremeno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bespravno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8644B4">
        <w:rPr>
          <w:noProof/>
          <w:lang w:val="sr-Latn-CS"/>
        </w:rPr>
        <w:t xml:space="preserve">. 166, 167.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168.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22.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171. </w:t>
      </w:r>
      <w:r>
        <w:rPr>
          <w:noProof/>
          <w:lang w:val="sr-Latn-CS"/>
        </w:rPr>
        <w:t>ispred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8644B4">
        <w:rPr>
          <w:noProof/>
          <w:lang w:val="sr-Latn-CS"/>
        </w:rPr>
        <w:t xml:space="preserve"> 1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obostranoj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zagradi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oglasi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nevažećim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zamjenjuju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rješenjem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Pr="008644B4">
        <w:rPr>
          <w:noProof/>
          <w:lang w:val="sr-Latn-CS"/>
        </w:rPr>
        <w:t>“.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r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podnese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ocijeni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postupilo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8644B4">
        <w:rPr>
          <w:noProof/>
          <w:lang w:val="sr-Latn-CS"/>
        </w:rPr>
        <w:t xml:space="preserve"> 121.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>,“.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„(2)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naredi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rušenje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dijela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inspektor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gradilište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objekat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obilježava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trakom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znakom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23.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177. </w:t>
      </w:r>
      <w:r>
        <w:rPr>
          <w:noProof/>
          <w:lang w:val="sr-Latn-CS"/>
        </w:rPr>
        <w:t>ispred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Novčanom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8644B4">
        <w:rPr>
          <w:noProof/>
          <w:lang w:val="sr-Latn-CS"/>
        </w:rPr>
        <w:t xml:space="preserve"> 1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obostranoj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zagradi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mijenja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 xml:space="preserve">: 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ž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izda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8644B4">
        <w:rPr>
          <w:noProof/>
          <w:lang w:val="sr-Latn-CS"/>
        </w:rPr>
        <w:t xml:space="preserve">, </w:t>
      </w:r>
      <w:r>
        <w:rPr>
          <w:bCs/>
          <w:noProof/>
          <w:lang w:val="sr-Latn-CS"/>
        </w:rPr>
        <w:t>građevinsku</w:t>
      </w:r>
      <w:r w:rsidRPr="008644B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dozvolu</w:t>
      </w:r>
      <w:r w:rsidRPr="008644B4">
        <w:rPr>
          <w:bCs/>
          <w:noProof/>
          <w:lang w:val="sr-Latn-CS"/>
        </w:rPr>
        <w:t>,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dijela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5</w:t>
      </w: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59.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1,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75,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131.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2, </w:t>
      </w:r>
      <w:r>
        <w:rPr>
          <w:noProof/>
          <w:lang w:val="sr-Latn-CS"/>
        </w:rPr>
        <w:t>čl</w:t>
      </w:r>
      <w:r w:rsidRPr="008644B4">
        <w:rPr>
          <w:noProof/>
          <w:lang w:val="sr-Latn-CS"/>
        </w:rPr>
        <w:t xml:space="preserve">. 145.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149.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>,“.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2.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„(2) </w:t>
      </w:r>
      <w:r>
        <w:rPr>
          <w:noProof/>
          <w:lang w:val="sr-Latn-CS"/>
        </w:rPr>
        <w:t>Novčanom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1.500 </w:t>
      </w:r>
      <w:r>
        <w:rPr>
          <w:noProof/>
          <w:lang w:val="sr-Latn-CS"/>
        </w:rPr>
        <w:t>KM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javnom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komunalnom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8644B4">
        <w:rPr>
          <w:noProof/>
          <w:lang w:val="sr-Latn-CS"/>
        </w:rPr>
        <w:t xml:space="preserve"> 5</w:t>
      </w: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dokaze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8644B4">
        <w:rPr>
          <w:noProof/>
          <w:lang w:val="sr-Latn-CS"/>
        </w:rPr>
        <w:t xml:space="preserve"> 24.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180.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zapete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dodaju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odnosno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revidenta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8644B4">
        <w:rPr>
          <w:noProof/>
          <w:lang w:val="sr-Latn-CS"/>
        </w:rPr>
        <w:t xml:space="preserve"> 114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>“.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25.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185.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124.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zapeta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644B4">
        <w:rPr>
          <w:noProof/>
          <w:lang w:val="sr-Latn-CS"/>
        </w:rPr>
        <w:t>: „</w:t>
      </w:r>
      <w:r>
        <w:rPr>
          <w:noProof/>
          <w:lang w:val="sr-Latn-CS"/>
        </w:rPr>
        <w:t>osim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153.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26.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ab/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188.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188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188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KM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dobilo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8644B4">
        <w:rPr>
          <w:noProof/>
          <w:lang w:val="sr-Latn-CS"/>
        </w:rPr>
        <w:t xml:space="preserve"> 121.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(2) </w:t>
      </w:r>
      <w:r>
        <w:rPr>
          <w:noProof/>
          <w:lang w:val="sr-Latn-CS"/>
        </w:rPr>
        <w:t>Novčanom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100 </w:t>
      </w:r>
      <w:r>
        <w:rPr>
          <w:noProof/>
          <w:lang w:val="sr-Latn-CS"/>
        </w:rPr>
        <w:t>KM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27.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189.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3. </w:t>
      </w:r>
      <w:r>
        <w:rPr>
          <w:noProof/>
          <w:lang w:val="sr-Latn-CS"/>
        </w:rPr>
        <w:t>mijenja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„(3) </w:t>
      </w:r>
      <w:r>
        <w:rPr>
          <w:noProof/>
          <w:lang w:val="sr-Latn-CS"/>
        </w:rPr>
        <w:t>Dokumenti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istekao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primjenjuju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dijelu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višeg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28.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193.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193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193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>.</w:t>
      </w:r>
    </w:p>
    <w:p w:rsidR="008644B4" w:rsidRPr="008644B4" w:rsidRDefault="008644B4" w:rsidP="008644B4">
      <w:pPr>
        <w:ind w:firstLine="720"/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Licence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193.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8644B4">
        <w:rPr>
          <w:noProof/>
          <w:lang w:val="sr-Latn-CS"/>
        </w:rPr>
        <w:t xml:space="preserve">, </w:t>
      </w:r>
      <w:r>
        <w:rPr>
          <w:noProof/>
          <w:lang w:val="sr-Latn-CS"/>
        </w:rPr>
        <w:t>ostaju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29.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644B4">
        <w:rPr>
          <w:noProof/>
          <w:lang w:val="sr-Latn-CS"/>
        </w:rPr>
        <w:t xml:space="preserve"> 194.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1.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propis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5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>,“.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), </w:t>
      </w: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postaju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), 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</w:t>
      </w:r>
      <w:r w:rsidRPr="008644B4">
        <w:rPr>
          <w:noProof/>
          <w:lang w:val="sr-Latn-CS"/>
        </w:rPr>
        <w:t>).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644B4">
        <w:rPr>
          <w:noProof/>
          <w:lang w:val="sr-Latn-CS"/>
        </w:rPr>
        <w:t xml:space="preserve"> 5. </w:t>
      </w: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dodaj</w:t>
      </w:r>
      <w:r w:rsidRPr="008644B4">
        <w:rPr>
          <w:noProof/>
          <w:lang w:val="sr-Latn-CS"/>
        </w:rPr>
        <w:t xml:space="preserve">e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Pr="008644B4">
        <w:rPr>
          <w:noProof/>
          <w:lang w:val="sr-Latn-CS"/>
        </w:rPr>
        <w:t xml:space="preserve">a </w:t>
      </w:r>
      <w:r>
        <w:rPr>
          <w:noProof/>
          <w:lang w:val="sr-Latn-CS"/>
        </w:rPr>
        <w:t>t</w:t>
      </w:r>
      <w:r w:rsidRPr="008644B4">
        <w:rPr>
          <w:noProof/>
          <w:lang w:val="sr-Latn-CS"/>
        </w:rPr>
        <w:t>a</w:t>
      </w:r>
      <w:r>
        <w:rPr>
          <w:noProof/>
          <w:lang w:val="sr-Latn-CS"/>
        </w:rPr>
        <w:t>čka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>„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pravilnik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91.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>,“.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Dosadašnje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v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postaju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g</w:t>
      </w:r>
      <w:r w:rsidRPr="008644B4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8644B4">
        <w:rPr>
          <w:noProof/>
          <w:lang w:val="sr-Latn-CS"/>
        </w:rPr>
        <w:t>)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644B4">
        <w:rPr>
          <w:noProof/>
          <w:lang w:val="sr-Latn-CS"/>
        </w:rPr>
        <w:t xml:space="preserve"> 7. </w:t>
      </w:r>
      <w:r>
        <w:rPr>
          <w:noProof/>
          <w:lang w:val="sr-Latn-CS"/>
        </w:rPr>
        <w:t>dodaje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8. </w:t>
      </w:r>
      <w:r>
        <w:rPr>
          <w:noProof/>
          <w:lang w:val="sr-Latn-CS"/>
        </w:rPr>
        <w:t>koji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8644B4">
        <w:rPr>
          <w:noProof/>
          <w:lang w:val="sr-Latn-CS"/>
        </w:rPr>
        <w:t>: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 xml:space="preserve">„(8) </w:t>
      </w:r>
      <w:r>
        <w:rPr>
          <w:noProof/>
          <w:lang w:val="sr-Latn-CS"/>
        </w:rPr>
        <w:t>Fond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644B4">
        <w:rPr>
          <w:noProof/>
          <w:lang w:val="sr-Latn-CS"/>
        </w:rPr>
        <w:t xml:space="preserve"> 90</w:t>
      </w:r>
      <w:r>
        <w:rPr>
          <w:noProof/>
          <w:lang w:val="sr-Latn-CS"/>
        </w:rPr>
        <w:t>a</w:t>
      </w:r>
      <w:r w:rsidRPr="008644B4">
        <w:rPr>
          <w:noProof/>
          <w:lang w:val="sr-Latn-CS"/>
        </w:rPr>
        <w:t xml:space="preserve">. </w:t>
      </w:r>
      <w:r>
        <w:rPr>
          <w:noProof/>
          <w:lang w:val="sr-Latn-CS"/>
        </w:rPr>
        <w:t>stav</w:t>
      </w:r>
      <w:r w:rsidRPr="008644B4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644B4">
        <w:rPr>
          <w:noProof/>
          <w:lang w:val="sr-Latn-CS"/>
        </w:rPr>
        <w:t>.“</w:t>
      </w:r>
    </w:p>
    <w:p w:rsidR="008644B4" w:rsidRPr="008644B4" w:rsidRDefault="008644B4" w:rsidP="008644B4">
      <w:pPr>
        <w:ind w:firstLine="720"/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644B4">
        <w:rPr>
          <w:noProof/>
          <w:lang w:val="sr-Latn-CS"/>
        </w:rPr>
        <w:t xml:space="preserve"> 30.</w:t>
      </w:r>
    </w:p>
    <w:p w:rsidR="008644B4" w:rsidRPr="008644B4" w:rsidRDefault="008644B4" w:rsidP="008644B4">
      <w:pPr>
        <w:jc w:val="center"/>
        <w:rPr>
          <w:noProof/>
          <w:lang w:val="sr-Latn-CS"/>
        </w:rPr>
      </w:pPr>
    </w:p>
    <w:p w:rsidR="008644B4" w:rsidRPr="008644B4" w:rsidRDefault="008644B4" w:rsidP="008644B4">
      <w:pPr>
        <w:tabs>
          <w:tab w:val="left" w:pos="0"/>
        </w:tabs>
        <w:jc w:val="both"/>
        <w:rPr>
          <w:noProof/>
          <w:lang w:val="sr-Latn-CS"/>
        </w:rPr>
      </w:pPr>
      <w:r w:rsidRPr="008644B4">
        <w:rPr>
          <w:noProof/>
          <w:lang w:val="sr-Latn-CS"/>
        </w:rPr>
        <w:tab/>
      </w:r>
      <w:r>
        <w:rPr>
          <w:noProof/>
          <w:lang w:val="sr-Latn-CS"/>
        </w:rPr>
        <w:t>Ovaj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644B4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644B4">
        <w:rPr>
          <w:noProof/>
          <w:lang w:val="sr-Latn-CS"/>
        </w:rPr>
        <w:t>“.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8644B4">
        <w:rPr>
          <w:noProof/>
          <w:lang w:val="sr-Latn-CS"/>
        </w:rPr>
        <w:t>: 02/1-021-</w:t>
      </w:r>
      <w:r w:rsidR="00FD53D7">
        <w:t>924</w:t>
      </w:r>
      <w:r w:rsidRPr="008644B4">
        <w:rPr>
          <w:noProof/>
          <w:lang w:val="sr-Latn-CS"/>
        </w:rPr>
        <w:t>/19</w:t>
      </w:r>
      <w:r w:rsidRPr="008644B4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:rsidR="008644B4" w:rsidRPr="008644B4" w:rsidRDefault="008644B4" w:rsidP="008644B4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8644B4">
        <w:rPr>
          <w:noProof/>
          <w:lang w:val="sr-Latn-CS"/>
        </w:rPr>
        <w:t xml:space="preserve">: 27. </w:t>
      </w:r>
      <w:r>
        <w:rPr>
          <w:noProof/>
          <w:lang w:val="sr-Latn-CS"/>
        </w:rPr>
        <w:t>septembar</w:t>
      </w:r>
      <w:r w:rsidRPr="008644B4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Pr="008644B4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8644B4" w:rsidRPr="008644B4" w:rsidRDefault="008644B4" w:rsidP="008644B4">
      <w:pPr>
        <w:jc w:val="both"/>
        <w:rPr>
          <w:noProof/>
          <w:lang w:val="sr-Latn-CS"/>
        </w:rPr>
      </w:pPr>
    </w:p>
    <w:p w:rsidR="008644B4" w:rsidRPr="008644B4" w:rsidRDefault="008644B4" w:rsidP="008644B4">
      <w:pPr>
        <w:tabs>
          <w:tab w:val="center" w:pos="7560"/>
        </w:tabs>
        <w:rPr>
          <w:noProof/>
          <w:lang w:val="sr-Latn-CS"/>
        </w:rPr>
      </w:pPr>
      <w:r w:rsidRPr="008644B4">
        <w:rPr>
          <w:noProof/>
          <w:lang w:val="sr-Latn-CS"/>
        </w:rPr>
        <w:tab/>
      </w:r>
      <w:r>
        <w:rPr>
          <w:noProof/>
          <w:lang w:val="sr-Latn-CS"/>
        </w:rPr>
        <w:t>Nedeljko</w:t>
      </w:r>
      <w:r w:rsidRPr="008644B4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8644B4" w:rsidRPr="008644B4" w:rsidRDefault="008644B4" w:rsidP="008644B4">
      <w:pPr>
        <w:rPr>
          <w:b/>
          <w:noProof/>
          <w:lang w:val="sr-Latn-CS"/>
        </w:rPr>
      </w:pPr>
    </w:p>
    <w:p w:rsidR="00EF54C5" w:rsidRPr="008644B4" w:rsidRDefault="00EF54C5">
      <w:pPr>
        <w:rPr>
          <w:noProof/>
          <w:lang w:val="sr-Latn-CS"/>
        </w:rPr>
      </w:pPr>
    </w:p>
    <w:sectPr w:rsidR="00EF54C5" w:rsidRPr="008644B4" w:rsidSect="00094A6F">
      <w:headerReference w:type="default" r:id="rId6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C99" w:rsidRDefault="00886C99">
      <w:r>
        <w:separator/>
      </w:r>
    </w:p>
  </w:endnote>
  <w:endnote w:type="continuationSeparator" w:id="0">
    <w:p w:rsidR="00886C99" w:rsidRDefault="0088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C99" w:rsidRDefault="00886C99">
      <w:r>
        <w:separator/>
      </w:r>
    </w:p>
  </w:footnote>
  <w:footnote w:type="continuationSeparator" w:id="0">
    <w:p w:rsidR="00886C99" w:rsidRDefault="00886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BB" w:rsidRDefault="00886C99">
    <w:pPr>
      <w:pStyle w:val="Header"/>
    </w:pPr>
  </w:p>
  <w:p w:rsidR="007D72BB" w:rsidRDefault="00886C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9C4"/>
    <w:rsid w:val="004231F5"/>
    <w:rsid w:val="004804C6"/>
    <w:rsid w:val="006F49C4"/>
    <w:rsid w:val="008644B4"/>
    <w:rsid w:val="00886C99"/>
    <w:rsid w:val="00A13D15"/>
    <w:rsid w:val="00EF54C5"/>
    <w:rsid w:val="00FD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142E0-C756-4C3D-B6DD-6A2AB2B20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44B4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8644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8644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44B4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644B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644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163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6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3700</Words>
  <Characters>21092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2019-10-14T09:40:00Z</dcterms:created>
  <dcterms:modified xsi:type="dcterms:W3CDTF">2019-10-14T09:40:00Z</dcterms:modified>
</cp:coreProperties>
</file>